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FEB5EC" w14:textId="77777777" w:rsidR="00083EBA" w:rsidRDefault="00083EBA" w:rsidP="00083EBA">
      <w:pPr>
        <w:jc w:val="center"/>
        <w:rPr>
          <w:rFonts w:ascii="Cambria" w:hAnsi="Cambria"/>
          <w:b/>
          <w:bCs/>
          <w:color w:val="1F3864" w:themeColor="accent1" w:themeShade="80"/>
          <w:sz w:val="44"/>
          <w:szCs w:val="44"/>
        </w:rPr>
      </w:pPr>
    </w:p>
    <w:p w14:paraId="0608D326" w14:textId="77777777" w:rsidR="00083EBA" w:rsidRDefault="00083EBA" w:rsidP="00083EBA">
      <w:pPr>
        <w:jc w:val="center"/>
        <w:rPr>
          <w:rFonts w:ascii="Cambria" w:hAnsi="Cambria"/>
          <w:b/>
          <w:bCs/>
          <w:color w:val="1F3864" w:themeColor="accent1" w:themeShade="80"/>
          <w:sz w:val="44"/>
          <w:szCs w:val="44"/>
        </w:rPr>
      </w:pPr>
    </w:p>
    <w:p w14:paraId="5AE60767" w14:textId="77777777" w:rsidR="00083EBA" w:rsidRDefault="00083EBA" w:rsidP="00083EBA">
      <w:pPr>
        <w:jc w:val="center"/>
        <w:rPr>
          <w:rFonts w:ascii="Cambria" w:hAnsi="Cambria"/>
          <w:b/>
          <w:bCs/>
          <w:color w:val="1F3864" w:themeColor="accent1" w:themeShade="80"/>
          <w:sz w:val="44"/>
          <w:szCs w:val="44"/>
        </w:rPr>
      </w:pPr>
    </w:p>
    <w:p w14:paraId="13F682C3" w14:textId="77777777" w:rsidR="00083EBA" w:rsidRDefault="00083EBA" w:rsidP="00083EBA">
      <w:pPr>
        <w:jc w:val="center"/>
        <w:rPr>
          <w:rFonts w:ascii="Cambria" w:hAnsi="Cambria"/>
          <w:b/>
          <w:bCs/>
          <w:color w:val="1F3864" w:themeColor="accent1" w:themeShade="80"/>
          <w:sz w:val="44"/>
          <w:szCs w:val="44"/>
        </w:rPr>
      </w:pPr>
    </w:p>
    <w:p w14:paraId="5ABC64C7" w14:textId="77777777" w:rsidR="00083EBA" w:rsidRPr="00072F72" w:rsidRDefault="00083EBA" w:rsidP="00083EBA">
      <w:pPr>
        <w:jc w:val="center"/>
        <w:rPr>
          <w:rFonts w:ascii="Cambria" w:hAnsi="Cambria"/>
          <w:b/>
          <w:bCs/>
          <w:color w:val="1F3864" w:themeColor="accent1" w:themeShade="80"/>
          <w:sz w:val="32"/>
          <w:szCs w:val="32"/>
        </w:rPr>
      </w:pPr>
    </w:p>
    <w:p w14:paraId="3081EEAB" w14:textId="73032557" w:rsidR="004F311C" w:rsidRPr="00072F72" w:rsidRDefault="004F311C" w:rsidP="00083EBA">
      <w:pPr>
        <w:jc w:val="center"/>
        <w:rPr>
          <w:rFonts w:ascii="Cambria" w:hAnsi="Cambria"/>
          <w:b/>
          <w:bCs/>
          <w:color w:val="1F3864" w:themeColor="accent1" w:themeShade="80"/>
          <w:sz w:val="32"/>
          <w:szCs w:val="32"/>
        </w:rPr>
      </w:pPr>
      <w:r w:rsidRPr="00072F72">
        <w:rPr>
          <w:rFonts w:ascii="Cambria" w:hAnsi="Cambria"/>
          <w:b/>
          <w:bCs/>
          <w:color w:val="1F3864" w:themeColor="accent1" w:themeShade="80"/>
          <w:sz w:val="32"/>
          <w:szCs w:val="32"/>
        </w:rPr>
        <w:t>Param Personnel Certification</w:t>
      </w:r>
    </w:p>
    <w:p w14:paraId="407FDD33" w14:textId="5639BD57" w:rsidR="004F311C" w:rsidRPr="00083EBA" w:rsidRDefault="004F311C" w:rsidP="00083EBA">
      <w:pPr>
        <w:jc w:val="center"/>
        <w:rPr>
          <w:rFonts w:ascii="Cambria" w:hAnsi="Cambria"/>
          <w:b/>
          <w:bCs/>
          <w:color w:val="1F3864" w:themeColor="accent1" w:themeShade="80"/>
          <w:sz w:val="44"/>
          <w:szCs w:val="44"/>
        </w:rPr>
      </w:pPr>
      <w:r w:rsidRPr="00072F72">
        <w:rPr>
          <w:rFonts w:ascii="Cambria" w:hAnsi="Cambria"/>
          <w:b/>
          <w:bCs/>
          <w:color w:val="1F3864" w:themeColor="accent1" w:themeShade="80"/>
          <w:sz w:val="32"/>
          <w:szCs w:val="32"/>
        </w:rPr>
        <w:t>Eligibility &amp; Assessment Guidance</w:t>
      </w:r>
      <w:r w:rsidR="00072F72" w:rsidRPr="00072F72">
        <w:rPr>
          <w:rFonts w:ascii="Cambria" w:hAnsi="Cambria"/>
          <w:b/>
          <w:bCs/>
          <w:color w:val="1F3864" w:themeColor="accent1" w:themeShade="80"/>
          <w:sz w:val="32"/>
          <w:szCs w:val="32"/>
        </w:rPr>
        <w:t xml:space="preserve"> </w:t>
      </w:r>
      <w:r w:rsidR="00072F72">
        <w:rPr>
          <w:rFonts w:ascii="Cambria" w:hAnsi="Cambria"/>
          <w:b/>
          <w:bCs/>
          <w:color w:val="1F3864" w:themeColor="accent1" w:themeShade="80"/>
          <w:sz w:val="44"/>
          <w:szCs w:val="44"/>
        </w:rPr>
        <w:t>-</w:t>
      </w:r>
      <w:r w:rsidR="00072F72" w:rsidRPr="00072F72">
        <w:rPr>
          <w:rFonts w:ascii="Cambria" w:hAnsi="Cambria"/>
          <w:b/>
          <w:bCs/>
          <w:color w:val="1F3864" w:themeColor="accent1" w:themeShade="80"/>
          <w:sz w:val="32"/>
          <w:szCs w:val="32"/>
        </w:rPr>
        <w:t xml:space="preserve"> </w:t>
      </w:r>
      <w:r w:rsidR="00072F72" w:rsidRPr="00D31FC1">
        <w:rPr>
          <w:rFonts w:ascii="Cambria" w:hAnsi="Cambria"/>
          <w:b/>
          <w:bCs/>
          <w:color w:val="1F3864" w:themeColor="accent1" w:themeShade="80"/>
          <w:sz w:val="32"/>
          <w:szCs w:val="32"/>
        </w:rPr>
        <w:t>ISO 45001 Lead Auditor</w:t>
      </w:r>
    </w:p>
    <w:p w14:paraId="673350D2" w14:textId="20F19822" w:rsidR="002012D6" w:rsidRDefault="002012D6">
      <w:pPr>
        <w:rPr>
          <w:rFonts w:ascii="Cambria" w:hAnsi="Cambria"/>
        </w:rPr>
      </w:pPr>
      <w:r>
        <w:rPr>
          <w:rFonts w:ascii="Cambria" w:hAnsi="Cambria"/>
        </w:rPr>
        <w:br w:type="page"/>
      </w:r>
    </w:p>
    <w:p w14:paraId="36B0850C" w14:textId="7B9007E8" w:rsidR="004F311C" w:rsidRPr="00B94FEA" w:rsidRDefault="004F311C" w:rsidP="00B94FEA">
      <w:pPr>
        <w:pStyle w:val="Heading1"/>
        <w:rPr>
          <w:rFonts w:ascii="Cambria" w:hAnsi="Cambria"/>
          <w:b/>
          <w:bCs/>
          <w:color w:val="1F3864" w:themeColor="accent1" w:themeShade="80"/>
          <w:sz w:val="28"/>
          <w:szCs w:val="28"/>
        </w:rPr>
      </w:pPr>
      <w:r w:rsidRPr="00B94FEA">
        <w:rPr>
          <w:rFonts w:ascii="Cambria" w:hAnsi="Cambria"/>
          <w:b/>
          <w:bCs/>
          <w:color w:val="1F3864" w:themeColor="accent1" w:themeShade="80"/>
          <w:sz w:val="28"/>
          <w:szCs w:val="28"/>
        </w:rPr>
        <w:lastRenderedPageBreak/>
        <w:t>Introduction</w:t>
      </w:r>
    </w:p>
    <w:p w14:paraId="2CECE165" w14:textId="17866F0C" w:rsidR="004F311C" w:rsidRPr="004F311C" w:rsidRDefault="004F311C" w:rsidP="004F311C">
      <w:pPr>
        <w:jc w:val="both"/>
        <w:rPr>
          <w:rFonts w:ascii="Cambria" w:hAnsi="Cambria"/>
        </w:rPr>
      </w:pPr>
      <w:r w:rsidRPr="004F311C">
        <w:rPr>
          <w:rFonts w:ascii="Cambria" w:hAnsi="Cambria"/>
        </w:rPr>
        <w:t xml:space="preserve">This document sets out the public eligibility and assessment guidance for applicants seeking ISO 45001 Lead Auditor personnel certification through Param Personnel Certification </w:t>
      </w:r>
      <w:r w:rsidR="00BE6046">
        <w:rPr>
          <w:rFonts w:ascii="Cambria" w:hAnsi="Cambria"/>
        </w:rPr>
        <w:t>Ltd</w:t>
      </w:r>
      <w:r w:rsidRPr="004F311C">
        <w:rPr>
          <w:rFonts w:ascii="Cambria" w:hAnsi="Cambria"/>
        </w:rPr>
        <w:t xml:space="preserve"> (PPC). It explains the requirements, assessment approach, and competence evaluation process used to determine whether an applicant meets the certification scheme criteria.</w:t>
      </w:r>
    </w:p>
    <w:p w14:paraId="2265ECBC" w14:textId="16174AAB" w:rsidR="004F311C" w:rsidRPr="004F311C" w:rsidRDefault="004F311C" w:rsidP="004F311C">
      <w:pPr>
        <w:jc w:val="both"/>
        <w:rPr>
          <w:rFonts w:ascii="Cambria" w:hAnsi="Cambria"/>
        </w:rPr>
      </w:pPr>
      <w:r w:rsidRPr="002012D6">
        <w:rPr>
          <w:rFonts w:ascii="Cambria" w:hAnsi="Cambria"/>
        </w:rPr>
        <w:t>This guidance applies strictly to personnel certification and does not relate to training provision, examination coaching, or organisational certification.</w:t>
      </w:r>
    </w:p>
    <w:p w14:paraId="3B37BC98" w14:textId="338AA000" w:rsidR="004F311C" w:rsidRPr="00B94FEA" w:rsidRDefault="004F311C" w:rsidP="00B94FEA">
      <w:pPr>
        <w:pStyle w:val="Heading1"/>
        <w:rPr>
          <w:rFonts w:ascii="Cambria" w:hAnsi="Cambria"/>
          <w:b/>
          <w:bCs/>
          <w:color w:val="1F3864" w:themeColor="accent1" w:themeShade="80"/>
          <w:sz w:val="28"/>
          <w:szCs w:val="28"/>
        </w:rPr>
      </w:pPr>
      <w:r w:rsidRPr="00B94FEA">
        <w:rPr>
          <w:rFonts w:ascii="Cambria" w:hAnsi="Cambria"/>
          <w:b/>
          <w:bCs/>
          <w:color w:val="1F3864" w:themeColor="accent1" w:themeShade="80"/>
          <w:sz w:val="28"/>
          <w:szCs w:val="28"/>
        </w:rPr>
        <w:t>Eligibility Requirements</w:t>
      </w:r>
    </w:p>
    <w:p w14:paraId="644AD3F4" w14:textId="77777777" w:rsidR="004F311C" w:rsidRPr="004F311C" w:rsidRDefault="004F311C" w:rsidP="004F311C">
      <w:pPr>
        <w:jc w:val="both"/>
        <w:rPr>
          <w:rFonts w:ascii="Cambria" w:hAnsi="Cambria"/>
        </w:rPr>
      </w:pPr>
      <w:r w:rsidRPr="004F311C">
        <w:rPr>
          <w:rFonts w:ascii="Cambria" w:hAnsi="Cambria"/>
        </w:rPr>
        <w:t>Applicants for ISO 45001 Lead Auditor Certification must demonstrate appropriate professional background, competence, and ethical conduct relevant to Occupational Health and Safety (OH&amp;S) management system auditing. Eligibility is assessed through documented evidence submitted as part of the application process.</w:t>
      </w:r>
    </w:p>
    <w:p w14:paraId="25B23572" w14:textId="77777777" w:rsidR="004F311C" w:rsidRPr="004F311C" w:rsidRDefault="004F311C" w:rsidP="004F311C">
      <w:pPr>
        <w:jc w:val="both"/>
        <w:rPr>
          <w:rFonts w:ascii="Cambria" w:hAnsi="Cambria"/>
        </w:rPr>
      </w:pPr>
      <w:r w:rsidRPr="004F311C">
        <w:rPr>
          <w:rFonts w:ascii="Cambria" w:hAnsi="Cambria"/>
        </w:rPr>
        <w:t>Eligibility is based on the combined evaluation of education, professional experience, audit competence, technical knowledge, and professional behaviour.</w:t>
      </w:r>
    </w:p>
    <w:p w14:paraId="40B92F48" w14:textId="73483A93" w:rsidR="004F311C" w:rsidRPr="00C11995" w:rsidRDefault="004F311C" w:rsidP="00C11995">
      <w:pPr>
        <w:pStyle w:val="Heading2"/>
        <w:rPr>
          <w:rFonts w:ascii="Cambria" w:hAnsi="Cambria"/>
          <w:b/>
          <w:bCs/>
          <w:color w:val="000000" w:themeColor="text1"/>
          <w:sz w:val="24"/>
          <w:szCs w:val="24"/>
        </w:rPr>
      </w:pPr>
      <w:r w:rsidRPr="00C11995">
        <w:rPr>
          <w:rFonts w:ascii="Cambria" w:hAnsi="Cambria"/>
          <w:b/>
          <w:bCs/>
          <w:color w:val="000000" w:themeColor="text1"/>
          <w:sz w:val="24"/>
          <w:szCs w:val="24"/>
        </w:rPr>
        <w:t>Educational Background</w:t>
      </w:r>
    </w:p>
    <w:p w14:paraId="0BC70C55" w14:textId="696F5331" w:rsidR="004F311C" w:rsidRPr="004F311C" w:rsidRDefault="004F311C" w:rsidP="004F311C">
      <w:pPr>
        <w:jc w:val="both"/>
        <w:rPr>
          <w:rFonts w:ascii="Cambria" w:hAnsi="Cambria"/>
        </w:rPr>
      </w:pPr>
      <w:r w:rsidRPr="004F311C">
        <w:rPr>
          <w:rFonts w:ascii="Cambria" w:hAnsi="Cambria"/>
        </w:rPr>
        <w:t>Applicants are expected to have an appropriate educational background that supports understanding of management system principles, auditing methodologies, and occupational health and safety concepts. Formal education is not assessed in isolation and is considered together with professional experience and demonstrated competence.</w:t>
      </w:r>
    </w:p>
    <w:p w14:paraId="6E30E23B" w14:textId="788E7B15" w:rsidR="004F311C" w:rsidRPr="00C11995" w:rsidRDefault="004F311C" w:rsidP="00C11995">
      <w:pPr>
        <w:pStyle w:val="Heading2"/>
        <w:rPr>
          <w:rFonts w:ascii="Cambria" w:hAnsi="Cambria"/>
          <w:b/>
          <w:bCs/>
          <w:color w:val="000000" w:themeColor="text1"/>
          <w:sz w:val="24"/>
          <w:szCs w:val="24"/>
        </w:rPr>
      </w:pPr>
      <w:r w:rsidRPr="00C11995">
        <w:rPr>
          <w:rFonts w:ascii="Cambria" w:hAnsi="Cambria"/>
          <w:b/>
          <w:bCs/>
          <w:color w:val="000000" w:themeColor="text1"/>
          <w:sz w:val="24"/>
          <w:szCs w:val="24"/>
        </w:rPr>
        <w:t>Occupational Health and Safety Experience</w:t>
      </w:r>
    </w:p>
    <w:p w14:paraId="6839F78B" w14:textId="573C7411" w:rsidR="004F311C" w:rsidRPr="004F311C" w:rsidRDefault="004F311C" w:rsidP="004F311C">
      <w:pPr>
        <w:jc w:val="both"/>
        <w:rPr>
          <w:rFonts w:ascii="Cambria" w:hAnsi="Cambria"/>
        </w:rPr>
      </w:pPr>
      <w:r w:rsidRPr="004F311C">
        <w:rPr>
          <w:rFonts w:ascii="Cambria" w:hAnsi="Cambria"/>
        </w:rPr>
        <w:t>Applicants must demonstrate relevant experience in OH&amp;S-related roles that support their ability to perform Lead Auditor functions. This experience may include involvement in OH&amp;S management system implementation or maintenance, safety management or advisory roles, risk assessment and hazard management activities, and incident investigation and compliance functions. The nature, scope, and duration of experience must be appropriate to the Lead Auditor role.</w:t>
      </w:r>
    </w:p>
    <w:p w14:paraId="12DA8C54" w14:textId="155DC15A" w:rsidR="004F311C" w:rsidRPr="00C11995" w:rsidRDefault="004F311C" w:rsidP="00C11995">
      <w:pPr>
        <w:pStyle w:val="Heading2"/>
        <w:rPr>
          <w:rFonts w:ascii="Cambria" w:hAnsi="Cambria"/>
          <w:b/>
          <w:bCs/>
          <w:color w:val="000000" w:themeColor="text1"/>
          <w:sz w:val="24"/>
          <w:szCs w:val="24"/>
        </w:rPr>
      </w:pPr>
      <w:r w:rsidRPr="00C11995">
        <w:rPr>
          <w:rFonts w:ascii="Cambria" w:hAnsi="Cambria"/>
          <w:b/>
          <w:bCs/>
          <w:color w:val="000000" w:themeColor="text1"/>
          <w:sz w:val="24"/>
          <w:szCs w:val="24"/>
        </w:rPr>
        <w:t>Audit Experience</w:t>
      </w:r>
    </w:p>
    <w:p w14:paraId="65463D84" w14:textId="77777777" w:rsidR="004F311C" w:rsidRPr="004F311C" w:rsidRDefault="004F311C" w:rsidP="004F311C">
      <w:pPr>
        <w:jc w:val="both"/>
        <w:rPr>
          <w:rFonts w:ascii="Cambria" w:hAnsi="Cambria"/>
        </w:rPr>
      </w:pPr>
      <w:r w:rsidRPr="004F311C">
        <w:rPr>
          <w:rFonts w:ascii="Cambria" w:hAnsi="Cambria"/>
        </w:rPr>
        <w:t xml:space="preserve">Applicants must provide evidence of audit experience relevant to management system auditing. Audit experience supports the demonstration of practical competence in planning, conducting, leading, and reporting audits. This may include participation in OH&amp;S management system audits, internal audits, second-party audits, third-party audit activities, </w:t>
      </w:r>
      <w:r w:rsidRPr="004F311C">
        <w:rPr>
          <w:rFonts w:ascii="Cambria" w:hAnsi="Cambria"/>
        </w:rPr>
        <w:lastRenderedPageBreak/>
        <w:t>or audit activities performed under supervision or as part of an audit team. Minimum audit experience requirements are defined within the certification scheme documentation.</w:t>
      </w:r>
    </w:p>
    <w:p w14:paraId="34D4C8F9" w14:textId="44808C20" w:rsidR="004F311C" w:rsidRPr="00C11995" w:rsidRDefault="004F311C" w:rsidP="00C11995">
      <w:pPr>
        <w:pStyle w:val="Heading2"/>
        <w:rPr>
          <w:rFonts w:ascii="Cambria" w:hAnsi="Cambria"/>
          <w:b/>
          <w:bCs/>
          <w:color w:val="000000" w:themeColor="text1"/>
          <w:sz w:val="24"/>
          <w:szCs w:val="24"/>
        </w:rPr>
      </w:pPr>
      <w:r w:rsidRPr="00C11995">
        <w:rPr>
          <w:rFonts w:ascii="Cambria" w:hAnsi="Cambria"/>
          <w:b/>
          <w:bCs/>
          <w:color w:val="000000" w:themeColor="text1"/>
          <w:sz w:val="24"/>
          <w:szCs w:val="24"/>
        </w:rPr>
        <w:t>Knowledge of ISO 45001</w:t>
      </w:r>
    </w:p>
    <w:p w14:paraId="37EAAEEE" w14:textId="4E2FCDAD" w:rsidR="004F311C" w:rsidRPr="004F311C" w:rsidRDefault="004F311C" w:rsidP="004F311C">
      <w:pPr>
        <w:jc w:val="both"/>
        <w:rPr>
          <w:rFonts w:ascii="Cambria" w:hAnsi="Cambria"/>
        </w:rPr>
      </w:pPr>
      <w:r w:rsidRPr="004F311C">
        <w:rPr>
          <w:rFonts w:ascii="Cambria" w:hAnsi="Cambria"/>
        </w:rPr>
        <w:t>Applicants must demonstrate appropriate knowledge of ISO 45001 and OH&amp;S management system auditing principles. This includes understanding ISO 45001 requirements, OH&amp;S management system principles, audit criteria and processes, and the professional responsibilities of Lead Auditors. Knowledge may be demonstrated through assessment, examination, and review of supporting evidence.</w:t>
      </w:r>
    </w:p>
    <w:p w14:paraId="4145B9C7" w14:textId="4150F397" w:rsidR="004F311C" w:rsidRPr="00C11995" w:rsidRDefault="004F311C" w:rsidP="00C11995">
      <w:pPr>
        <w:pStyle w:val="Heading2"/>
        <w:rPr>
          <w:rFonts w:ascii="Cambria" w:hAnsi="Cambria"/>
          <w:b/>
          <w:bCs/>
          <w:color w:val="000000" w:themeColor="text1"/>
          <w:sz w:val="24"/>
          <w:szCs w:val="24"/>
        </w:rPr>
      </w:pPr>
      <w:r w:rsidRPr="00C11995">
        <w:rPr>
          <w:rFonts w:ascii="Cambria" w:hAnsi="Cambria"/>
          <w:b/>
          <w:bCs/>
          <w:color w:val="000000" w:themeColor="text1"/>
          <w:sz w:val="24"/>
          <w:szCs w:val="24"/>
        </w:rPr>
        <w:t>Professional Conduct and Ethics</w:t>
      </w:r>
    </w:p>
    <w:p w14:paraId="0CA4C71A" w14:textId="5D761298" w:rsidR="004F311C" w:rsidRPr="004F311C" w:rsidRDefault="004F311C" w:rsidP="004F311C">
      <w:pPr>
        <w:jc w:val="both"/>
        <w:rPr>
          <w:rFonts w:ascii="Cambria" w:hAnsi="Cambria"/>
        </w:rPr>
      </w:pPr>
      <w:r w:rsidRPr="004F311C">
        <w:rPr>
          <w:rFonts w:ascii="Cambria" w:hAnsi="Cambria"/>
        </w:rPr>
        <w:t>Applicants are expected to demonstrate adherence to professional and ethical principles that support trust in certification outcomes. This includes integrity, objectivity, impartial judgement, confidentiality of information, and responsible professional behaviour. Commitment to ethical conduct is a condition of certification and ongoing certification validity.</w:t>
      </w:r>
    </w:p>
    <w:p w14:paraId="2876D5B0" w14:textId="5345272F" w:rsidR="004F311C" w:rsidRPr="00B94FEA" w:rsidRDefault="004F311C" w:rsidP="00B94FEA">
      <w:pPr>
        <w:pStyle w:val="Heading1"/>
        <w:rPr>
          <w:rFonts w:ascii="Cambria" w:hAnsi="Cambria"/>
          <w:b/>
          <w:bCs/>
          <w:color w:val="1F3864" w:themeColor="accent1" w:themeShade="80"/>
          <w:sz w:val="28"/>
          <w:szCs w:val="28"/>
        </w:rPr>
      </w:pPr>
      <w:r w:rsidRPr="00B94FEA">
        <w:rPr>
          <w:rFonts w:ascii="Cambria" w:hAnsi="Cambria"/>
          <w:b/>
          <w:bCs/>
          <w:color w:val="1F3864" w:themeColor="accent1" w:themeShade="80"/>
          <w:sz w:val="28"/>
          <w:szCs w:val="28"/>
        </w:rPr>
        <w:t>Evidence Requirements</w:t>
      </w:r>
    </w:p>
    <w:p w14:paraId="324425F2" w14:textId="40205F5E" w:rsidR="004F311C" w:rsidRPr="004F311C" w:rsidRDefault="004F311C" w:rsidP="004F311C">
      <w:pPr>
        <w:jc w:val="both"/>
        <w:rPr>
          <w:rFonts w:ascii="Cambria" w:hAnsi="Cambria"/>
        </w:rPr>
      </w:pPr>
      <w:r w:rsidRPr="004F311C">
        <w:rPr>
          <w:rFonts w:ascii="Cambria" w:hAnsi="Cambria"/>
        </w:rPr>
        <w:t>Applicants are required to submit documented evidence to support eligibility and competence evaluation. Evidence is reviewed as part of the application and assessment process and is handled in a confidential and controlled manner. Evidence may include professional profiles, records of OH&amp;S work experience, audit logs or audit experience records, declarations relating to professional conduct, and other supporting competence documentation.</w:t>
      </w:r>
    </w:p>
    <w:p w14:paraId="7B7088C1" w14:textId="70403C10" w:rsidR="004F311C" w:rsidRPr="00B94FEA" w:rsidRDefault="004F311C" w:rsidP="00B94FEA">
      <w:pPr>
        <w:pStyle w:val="Heading1"/>
        <w:rPr>
          <w:rFonts w:ascii="Cambria" w:hAnsi="Cambria"/>
          <w:b/>
          <w:bCs/>
          <w:color w:val="1F3864" w:themeColor="accent1" w:themeShade="80"/>
          <w:sz w:val="28"/>
          <w:szCs w:val="28"/>
        </w:rPr>
      </w:pPr>
      <w:r w:rsidRPr="00B94FEA">
        <w:rPr>
          <w:rFonts w:ascii="Cambria" w:hAnsi="Cambria"/>
          <w:b/>
          <w:bCs/>
          <w:color w:val="1F3864" w:themeColor="accent1" w:themeShade="80"/>
          <w:sz w:val="28"/>
          <w:szCs w:val="28"/>
        </w:rPr>
        <w:t>Application and Eligibility Review</w:t>
      </w:r>
    </w:p>
    <w:p w14:paraId="2B97084F" w14:textId="1114E757" w:rsidR="004F311C" w:rsidRPr="004F311C" w:rsidRDefault="004F311C" w:rsidP="004F311C">
      <w:pPr>
        <w:jc w:val="both"/>
        <w:rPr>
          <w:rFonts w:ascii="Cambria" w:hAnsi="Cambria"/>
        </w:rPr>
      </w:pPr>
      <w:r w:rsidRPr="004F311C">
        <w:rPr>
          <w:rFonts w:ascii="Cambria" w:hAnsi="Cambria"/>
        </w:rPr>
        <w:t>Applications are reviewed to confirm compliance with eligibility requirements prior to assessment. This review ensures that applicants meet the minimum scheme requirements before proceeding further in the certification process. Incomplete or insufficient applications may be returned for clarification or additional information. Only applicants who meet eligibility requirements proceed to the assessment stage.</w:t>
      </w:r>
    </w:p>
    <w:p w14:paraId="5C267CE3" w14:textId="66C22CF5" w:rsidR="004F311C" w:rsidRPr="00B94FEA" w:rsidRDefault="004F311C" w:rsidP="00B94FEA">
      <w:pPr>
        <w:pStyle w:val="Heading1"/>
        <w:rPr>
          <w:rFonts w:ascii="Cambria" w:hAnsi="Cambria"/>
          <w:b/>
          <w:bCs/>
          <w:color w:val="1F3864" w:themeColor="accent1" w:themeShade="80"/>
          <w:sz w:val="28"/>
          <w:szCs w:val="28"/>
        </w:rPr>
      </w:pPr>
      <w:r w:rsidRPr="00B94FEA">
        <w:rPr>
          <w:rFonts w:ascii="Cambria" w:hAnsi="Cambria"/>
          <w:b/>
          <w:bCs/>
          <w:color w:val="1F3864" w:themeColor="accent1" w:themeShade="80"/>
          <w:sz w:val="28"/>
          <w:szCs w:val="28"/>
        </w:rPr>
        <w:t>Assessment Model</w:t>
      </w:r>
    </w:p>
    <w:p w14:paraId="4B920787" w14:textId="77777777" w:rsidR="004F311C" w:rsidRPr="004F311C" w:rsidRDefault="004F311C" w:rsidP="004F311C">
      <w:pPr>
        <w:jc w:val="both"/>
        <w:rPr>
          <w:rFonts w:ascii="Cambria" w:hAnsi="Cambria"/>
        </w:rPr>
      </w:pPr>
      <w:r w:rsidRPr="004F311C">
        <w:rPr>
          <w:rFonts w:ascii="Cambria" w:hAnsi="Cambria"/>
        </w:rPr>
        <w:t>Assessment for ISO 45001 Lead Auditor Certification is designed to evaluate professional competence in relation to OH&amp;S management system auditing. Assessment focuses on the evaluation of knowledge, skills, professional judgement, and practical audit competence.</w:t>
      </w:r>
    </w:p>
    <w:p w14:paraId="3AD86B7A" w14:textId="76915D9E" w:rsidR="004F311C" w:rsidRPr="004F311C" w:rsidRDefault="004F311C" w:rsidP="004F311C">
      <w:pPr>
        <w:jc w:val="both"/>
        <w:rPr>
          <w:rFonts w:ascii="Cambria" w:hAnsi="Cambria"/>
        </w:rPr>
      </w:pPr>
      <w:r w:rsidRPr="004F311C">
        <w:rPr>
          <w:rFonts w:ascii="Cambria" w:hAnsi="Cambria"/>
        </w:rPr>
        <w:lastRenderedPageBreak/>
        <w:t>The assessment model may include a written examination, review of audit experience records, and evaluation of supporting competence evidence, as defined by the certification scheme.</w:t>
      </w:r>
    </w:p>
    <w:p w14:paraId="1B9FEE34" w14:textId="2D542AE4" w:rsidR="004F311C" w:rsidRPr="00B94FEA" w:rsidRDefault="004F311C" w:rsidP="00B94FEA">
      <w:pPr>
        <w:pStyle w:val="Heading1"/>
        <w:rPr>
          <w:rFonts w:ascii="Cambria" w:hAnsi="Cambria"/>
          <w:b/>
          <w:bCs/>
          <w:color w:val="1F3864" w:themeColor="accent1" w:themeShade="80"/>
          <w:sz w:val="28"/>
          <w:szCs w:val="28"/>
        </w:rPr>
      </w:pPr>
      <w:r w:rsidRPr="00B94FEA">
        <w:rPr>
          <w:rFonts w:ascii="Cambria" w:hAnsi="Cambria"/>
          <w:b/>
          <w:bCs/>
          <w:color w:val="1F3864" w:themeColor="accent1" w:themeShade="80"/>
          <w:sz w:val="28"/>
          <w:szCs w:val="28"/>
        </w:rPr>
        <w:t>Written Examination</w:t>
      </w:r>
    </w:p>
    <w:p w14:paraId="565114BA" w14:textId="3396FECC" w:rsidR="004F311C" w:rsidRPr="004F311C" w:rsidRDefault="004F311C" w:rsidP="004F311C">
      <w:pPr>
        <w:jc w:val="both"/>
        <w:rPr>
          <w:rFonts w:ascii="Cambria" w:hAnsi="Cambria"/>
        </w:rPr>
      </w:pPr>
      <w:r w:rsidRPr="004F311C">
        <w:rPr>
          <w:rFonts w:ascii="Cambria" w:hAnsi="Cambria"/>
        </w:rPr>
        <w:t>Where applicable, the written examination assesses knowledge and understanding of ISO 45001 requirements, OH&amp;S management system principles, audit principles and techniques, and auditor responsibilities and professional conduct. Examinations are conducted under controlled conditions to ensure fairness, integrity, consistency, and confidentiality.</w:t>
      </w:r>
    </w:p>
    <w:p w14:paraId="7F950619" w14:textId="7A222C32" w:rsidR="004F311C" w:rsidRPr="00B94FEA" w:rsidRDefault="004F311C" w:rsidP="00B94FEA">
      <w:pPr>
        <w:pStyle w:val="Heading1"/>
        <w:rPr>
          <w:rFonts w:ascii="Cambria" w:hAnsi="Cambria"/>
          <w:b/>
          <w:bCs/>
          <w:color w:val="1F3864" w:themeColor="accent1" w:themeShade="80"/>
          <w:sz w:val="28"/>
          <w:szCs w:val="28"/>
        </w:rPr>
      </w:pPr>
      <w:r w:rsidRPr="00B94FEA">
        <w:rPr>
          <w:rFonts w:ascii="Cambria" w:hAnsi="Cambria"/>
          <w:b/>
          <w:bCs/>
          <w:color w:val="1F3864" w:themeColor="accent1" w:themeShade="80"/>
          <w:sz w:val="28"/>
          <w:szCs w:val="28"/>
        </w:rPr>
        <w:t>Assessment Integrity</w:t>
      </w:r>
    </w:p>
    <w:p w14:paraId="172504C9" w14:textId="1B5EEBA4" w:rsidR="004F311C" w:rsidRPr="004F311C" w:rsidRDefault="004F311C" w:rsidP="004F311C">
      <w:pPr>
        <w:jc w:val="both"/>
        <w:rPr>
          <w:rFonts w:ascii="Cambria" w:hAnsi="Cambria"/>
        </w:rPr>
      </w:pPr>
      <w:r w:rsidRPr="004F311C">
        <w:rPr>
          <w:rFonts w:ascii="Cambria" w:hAnsi="Cambria"/>
        </w:rPr>
        <w:t>PPC applies defined controls to ensure the integrity of the assessment process. These controls ensure that assessments are fair, objective, and consistent, and include the use of competent and authorised assessors, consistent assessment criteria and methods, protection of examination and assessment materials, confidential handling of applicant information, and fair and non-discriminatory assessment processes.</w:t>
      </w:r>
    </w:p>
    <w:p w14:paraId="02354DEB" w14:textId="3DBF0F28" w:rsidR="004F311C" w:rsidRPr="00B94FEA" w:rsidRDefault="004F311C" w:rsidP="00B94FEA">
      <w:pPr>
        <w:pStyle w:val="Heading1"/>
        <w:rPr>
          <w:rFonts w:ascii="Cambria" w:hAnsi="Cambria"/>
          <w:b/>
          <w:bCs/>
          <w:color w:val="1F3864" w:themeColor="accent1" w:themeShade="80"/>
          <w:sz w:val="28"/>
          <w:szCs w:val="28"/>
        </w:rPr>
      </w:pPr>
      <w:r w:rsidRPr="00B94FEA">
        <w:rPr>
          <w:rFonts w:ascii="Cambria" w:hAnsi="Cambria"/>
          <w:b/>
          <w:bCs/>
          <w:color w:val="1F3864" w:themeColor="accent1" w:themeShade="80"/>
          <w:sz w:val="28"/>
          <w:szCs w:val="28"/>
        </w:rPr>
        <w:t>Separation of Assessment and Decision</w:t>
      </w:r>
    </w:p>
    <w:p w14:paraId="1FB09CC5" w14:textId="7900E8DD" w:rsidR="004F311C" w:rsidRPr="004F311C" w:rsidRDefault="004F311C" w:rsidP="004F311C">
      <w:pPr>
        <w:jc w:val="both"/>
        <w:rPr>
          <w:rFonts w:ascii="Cambria" w:hAnsi="Cambria"/>
        </w:rPr>
      </w:pPr>
      <w:r w:rsidRPr="004F311C">
        <w:rPr>
          <w:rFonts w:ascii="Cambria" w:hAnsi="Cambria"/>
        </w:rPr>
        <w:t>Assessment activities and certification decisions are carried out as separate functions. Individuals involved in assessment do not participate in certification decision-making. This separation protects objectivity, impartiality, and independence in certification outcomes.</w:t>
      </w:r>
    </w:p>
    <w:p w14:paraId="557AEF28" w14:textId="4A956484" w:rsidR="004F311C" w:rsidRPr="00B94FEA" w:rsidRDefault="004F311C" w:rsidP="00B94FEA">
      <w:pPr>
        <w:pStyle w:val="Heading1"/>
        <w:rPr>
          <w:rFonts w:ascii="Cambria" w:hAnsi="Cambria"/>
          <w:b/>
          <w:bCs/>
          <w:color w:val="1F3864" w:themeColor="accent1" w:themeShade="80"/>
          <w:sz w:val="28"/>
          <w:szCs w:val="28"/>
        </w:rPr>
      </w:pPr>
      <w:r w:rsidRPr="00B94FEA">
        <w:rPr>
          <w:rFonts w:ascii="Cambria" w:hAnsi="Cambria"/>
          <w:b/>
          <w:bCs/>
          <w:color w:val="1F3864" w:themeColor="accent1" w:themeShade="80"/>
          <w:sz w:val="28"/>
          <w:szCs w:val="28"/>
        </w:rPr>
        <w:t>Assessment Outcomes</w:t>
      </w:r>
    </w:p>
    <w:p w14:paraId="0DD39831" w14:textId="0F57E1F2" w:rsidR="004F311C" w:rsidRPr="00DC42E2" w:rsidRDefault="004F311C" w:rsidP="00DC42E2">
      <w:pPr>
        <w:jc w:val="both"/>
        <w:rPr>
          <w:rFonts w:ascii="Cambria" w:hAnsi="Cambria"/>
        </w:rPr>
      </w:pPr>
      <w:r w:rsidRPr="004F311C">
        <w:rPr>
          <w:rFonts w:ascii="Cambria" w:hAnsi="Cambria"/>
        </w:rPr>
        <w:t>Assessment outcomes are formally recorded and reviewed to determine whether certification requirements have been met. Where necessary, applicants may be required to provide clarification or additional evidence. Certification is granted only where all scheme requirements are fully satisfied.</w:t>
      </w:r>
    </w:p>
    <w:p w14:paraId="66C03C6D" w14:textId="790181A9" w:rsidR="004F311C" w:rsidRPr="004F311C" w:rsidRDefault="00E57446" w:rsidP="004F311C">
      <w:pPr>
        <w:jc w:val="both"/>
        <w:rPr>
          <w:rFonts w:ascii="Cambria" w:hAnsi="Cambria"/>
        </w:rPr>
      </w:pPr>
      <w:r w:rsidRPr="00E57446">
        <w:rPr>
          <w:rFonts w:ascii="Cambria" w:hAnsi="Cambria"/>
        </w:rPr>
        <w:t xml:space="preserve">PPC’s processes are </w:t>
      </w:r>
      <w:r w:rsidRPr="00DC42E2">
        <w:rPr>
          <w:rFonts w:ascii="Cambria" w:hAnsi="Cambria"/>
        </w:rPr>
        <w:t>designed with reference to</w:t>
      </w:r>
      <w:r w:rsidRPr="00E57446">
        <w:rPr>
          <w:rFonts w:ascii="Cambria" w:hAnsi="Cambria"/>
        </w:rPr>
        <w:t xml:space="preserve"> ISO/IEC 17024 principles for certification of persons</w:t>
      </w:r>
      <w:r>
        <w:rPr>
          <w:rFonts w:ascii="Cambria" w:hAnsi="Cambria"/>
        </w:rPr>
        <w:t xml:space="preserve">. </w:t>
      </w:r>
      <w:r w:rsidR="004F311C" w:rsidRPr="004F311C">
        <w:rPr>
          <w:rFonts w:ascii="Cambria" w:hAnsi="Cambria"/>
        </w:rPr>
        <w:t>ISO/IEC 17024 (Conformity assessment – Certification of persons) and ISO 45001 (Occupational Health and Safety Management Systems – auditor competence focus).</w:t>
      </w:r>
    </w:p>
    <w:p w14:paraId="449DA243" w14:textId="77777777" w:rsidR="007D6C17" w:rsidRDefault="007D6C17" w:rsidP="004F311C">
      <w:pPr>
        <w:jc w:val="both"/>
        <w:rPr>
          <w:rFonts w:ascii="Cambria" w:hAnsi="Cambria"/>
        </w:rPr>
      </w:pPr>
    </w:p>
    <w:p w14:paraId="1BCCC479" w14:textId="77777777" w:rsidR="004316BA" w:rsidRDefault="004316BA" w:rsidP="004F311C">
      <w:pPr>
        <w:jc w:val="both"/>
        <w:rPr>
          <w:rFonts w:ascii="Cambria" w:hAnsi="Cambria"/>
        </w:rPr>
      </w:pPr>
    </w:p>
    <w:p w14:paraId="2EDD9EBE" w14:textId="77777777" w:rsidR="00BE756B" w:rsidRDefault="00BE756B" w:rsidP="004F311C">
      <w:pPr>
        <w:jc w:val="both"/>
        <w:rPr>
          <w:rFonts w:ascii="Cambria" w:hAnsi="Cambria"/>
        </w:rPr>
      </w:pPr>
    </w:p>
    <w:tbl>
      <w:tblPr>
        <w:tblpPr w:leftFromText="180" w:rightFromText="180" w:vertAnchor="text" w:horzAnchor="margin" w:tblpXSpec="center" w:tblpY="302"/>
        <w:tblW w:w="9350" w:type="dxa"/>
        <w:tblLook w:val="04A0" w:firstRow="1" w:lastRow="0" w:firstColumn="1" w:lastColumn="0" w:noHBand="0" w:noVBand="1"/>
      </w:tblPr>
      <w:tblGrid>
        <w:gridCol w:w="1460"/>
        <w:gridCol w:w="2680"/>
        <w:gridCol w:w="1119"/>
        <w:gridCol w:w="1766"/>
        <w:gridCol w:w="2325"/>
      </w:tblGrid>
      <w:tr w:rsidR="00BE756B" w:rsidRPr="00D31A23" w14:paraId="5FDD2480" w14:textId="77777777" w:rsidTr="00433F94">
        <w:trPr>
          <w:trHeight w:val="318"/>
        </w:trPr>
        <w:tc>
          <w:tcPr>
            <w:tcW w:w="9350" w:type="dxa"/>
            <w:gridSpan w:val="5"/>
            <w:tcBorders>
              <w:top w:val="single" w:sz="8" w:space="0" w:color="auto"/>
              <w:left w:val="single" w:sz="8" w:space="0" w:color="auto"/>
              <w:bottom w:val="single" w:sz="8" w:space="0" w:color="auto"/>
              <w:right w:val="single" w:sz="8" w:space="0" w:color="000000"/>
            </w:tcBorders>
            <w:shd w:val="clear" w:color="auto" w:fill="FFF2CC" w:themeFill="accent4" w:themeFillTint="33"/>
            <w:vAlign w:val="center"/>
            <w:hideMark/>
          </w:tcPr>
          <w:p w14:paraId="3304F2A3" w14:textId="77777777" w:rsidR="00BE756B" w:rsidRPr="00D31A23" w:rsidRDefault="00BE756B" w:rsidP="00433F94">
            <w:pPr>
              <w:spacing w:after="0" w:line="240" w:lineRule="auto"/>
              <w:jc w:val="center"/>
              <w:rPr>
                <w:rFonts w:ascii="Cambria" w:eastAsia="Times New Roman" w:hAnsi="Cambria" w:cs="Calibri"/>
                <w:color w:val="000000"/>
                <w:kern w:val="0"/>
                <w:sz w:val="22"/>
                <w:szCs w:val="22"/>
                <w14:ligatures w14:val="none"/>
              </w:rPr>
            </w:pPr>
            <w:r w:rsidRPr="00D31A23">
              <w:rPr>
                <w:rFonts w:ascii="Cambria" w:eastAsia="Times New Roman" w:hAnsi="Cambria" w:cs="Calibri"/>
                <w:color w:val="000000"/>
                <w:kern w:val="0"/>
                <w:sz w:val="22"/>
                <w:szCs w:val="22"/>
                <w14:ligatures w14:val="none"/>
              </w:rPr>
              <w:lastRenderedPageBreak/>
              <w:t>Uncontrolled when printed</w:t>
            </w:r>
          </w:p>
        </w:tc>
      </w:tr>
      <w:tr w:rsidR="00BE756B" w:rsidRPr="00D31A23" w14:paraId="5FCAE46D" w14:textId="77777777" w:rsidTr="00433F94">
        <w:trPr>
          <w:trHeight w:val="598"/>
        </w:trPr>
        <w:tc>
          <w:tcPr>
            <w:tcW w:w="1392" w:type="dxa"/>
            <w:tcBorders>
              <w:top w:val="nil"/>
              <w:left w:val="single" w:sz="8" w:space="0" w:color="auto"/>
              <w:bottom w:val="single" w:sz="8" w:space="0" w:color="auto"/>
              <w:right w:val="single" w:sz="8" w:space="0" w:color="auto"/>
            </w:tcBorders>
            <w:vAlign w:val="center"/>
            <w:hideMark/>
          </w:tcPr>
          <w:p w14:paraId="41CE3D6C" w14:textId="77777777" w:rsidR="00BE756B" w:rsidRPr="00D31A23" w:rsidRDefault="00BE756B" w:rsidP="00433F94">
            <w:pPr>
              <w:spacing w:after="0" w:line="240" w:lineRule="auto"/>
              <w:jc w:val="center"/>
              <w:rPr>
                <w:rFonts w:ascii="Cambria" w:eastAsia="Times New Roman" w:hAnsi="Cambria" w:cs="Calibri"/>
                <w:color w:val="000000"/>
                <w:kern w:val="0"/>
                <w:sz w:val="22"/>
                <w:szCs w:val="22"/>
                <w14:ligatures w14:val="none"/>
              </w:rPr>
            </w:pPr>
            <w:r w:rsidRPr="00D31A23">
              <w:rPr>
                <w:rFonts w:ascii="Cambria" w:eastAsia="Times New Roman" w:hAnsi="Cambria" w:cs="Calibri"/>
                <w:color w:val="000000"/>
                <w:kern w:val="0"/>
                <w:sz w:val="22"/>
                <w:szCs w:val="22"/>
                <w14:ligatures w14:val="none"/>
              </w:rPr>
              <w:t>Author</w:t>
            </w:r>
          </w:p>
        </w:tc>
        <w:tc>
          <w:tcPr>
            <w:tcW w:w="2711" w:type="dxa"/>
            <w:tcBorders>
              <w:top w:val="nil"/>
              <w:left w:val="nil"/>
              <w:bottom w:val="single" w:sz="8" w:space="0" w:color="auto"/>
              <w:right w:val="single" w:sz="8" w:space="0" w:color="auto"/>
            </w:tcBorders>
            <w:vAlign w:val="center"/>
            <w:hideMark/>
          </w:tcPr>
          <w:p w14:paraId="20171E38" w14:textId="77777777" w:rsidR="00BE756B" w:rsidRPr="00D31A23" w:rsidRDefault="00BE756B" w:rsidP="00433F94">
            <w:pPr>
              <w:spacing w:after="0" w:line="240" w:lineRule="auto"/>
              <w:jc w:val="center"/>
              <w:rPr>
                <w:rFonts w:ascii="Cambria" w:eastAsia="Times New Roman" w:hAnsi="Cambria" w:cs="Calibri"/>
                <w:color w:val="000000"/>
                <w:kern w:val="0"/>
                <w:sz w:val="22"/>
                <w:szCs w:val="22"/>
                <w14:ligatures w14:val="none"/>
              </w:rPr>
            </w:pPr>
            <w:r w:rsidRPr="00D31A23">
              <w:rPr>
                <w:rFonts w:ascii="Cambria" w:eastAsia="Times New Roman" w:hAnsi="Cambria" w:cs="Calibri"/>
                <w:color w:val="000000"/>
                <w:kern w:val="0"/>
                <w:sz w:val="22"/>
                <w:szCs w:val="22"/>
                <w14:ligatures w14:val="none"/>
              </w:rPr>
              <w:t>Approved by</w:t>
            </w:r>
          </w:p>
        </w:tc>
        <w:tc>
          <w:tcPr>
            <w:tcW w:w="1122" w:type="dxa"/>
            <w:tcBorders>
              <w:top w:val="nil"/>
              <w:left w:val="nil"/>
              <w:bottom w:val="single" w:sz="8" w:space="0" w:color="auto"/>
              <w:right w:val="single" w:sz="8" w:space="0" w:color="auto"/>
            </w:tcBorders>
            <w:vAlign w:val="center"/>
            <w:hideMark/>
          </w:tcPr>
          <w:p w14:paraId="31EF16D9" w14:textId="77777777" w:rsidR="00BE756B" w:rsidRPr="00D31A23" w:rsidRDefault="00BE756B" w:rsidP="00433F94">
            <w:pPr>
              <w:spacing w:after="0" w:line="240" w:lineRule="auto"/>
              <w:jc w:val="center"/>
              <w:rPr>
                <w:rFonts w:ascii="Cambria" w:eastAsia="Times New Roman" w:hAnsi="Cambria" w:cs="Calibri"/>
                <w:color w:val="000000"/>
                <w:kern w:val="0"/>
                <w:sz w:val="22"/>
                <w:szCs w:val="22"/>
                <w14:ligatures w14:val="none"/>
              </w:rPr>
            </w:pPr>
            <w:r w:rsidRPr="00D31A23">
              <w:rPr>
                <w:rFonts w:ascii="Cambria" w:eastAsia="Times New Roman" w:hAnsi="Cambria" w:cs="Calibri"/>
                <w:color w:val="000000"/>
                <w:kern w:val="0"/>
                <w:sz w:val="22"/>
                <w:szCs w:val="22"/>
                <w14:ligatures w14:val="none"/>
              </w:rPr>
              <w:t>Version</w:t>
            </w:r>
            <w:r>
              <w:rPr>
                <w:rFonts w:ascii="Cambria" w:eastAsia="Times New Roman" w:hAnsi="Cambria" w:cs="Calibri"/>
                <w:color w:val="000000"/>
                <w:kern w:val="0"/>
                <w:sz w:val="22"/>
                <w:szCs w:val="22"/>
                <w14:ligatures w14:val="none"/>
              </w:rPr>
              <w:br/>
              <w:t>Number</w:t>
            </w:r>
          </w:p>
        </w:tc>
        <w:tc>
          <w:tcPr>
            <w:tcW w:w="1776" w:type="dxa"/>
            <w:tcBorders>
              <w:top w:val="nil"/>
              <w:left w:val="nil"/>
              <w:bottom w:val="single" w:sz="8" w:space="0" w:color="auto"/>
              <w:right w:val="single" w:sz="8" w:space="0" w:color="auto"/>
            </w:tcBorders>
            <w:vAlign w:val="center"/>
            <w:hideMark/>
          </w:tcPr>
          <w:p w14:paraId="3C4C47C4" w14:textId="77777777" w:rsidR="00BE756B" w:rsidRPr="00D31A23" w:rsidRDefault="00BE756B" w:rsidP="00433F94">
            <w:pPr>
              <w:spacing w:after="0" w:line="240" w:lineRule="auto"/>
              <w:jc w:val="center"/>
              <w:rPr>
                <w:rFonts w:ascii="Cambria" w:eastAsia="Times New Roman" w:hAnsi="Cambria" w:cs="Calibri"/>
                <w:color w:val="000000"/>
                <w:kern w:val="0"/>
                <w:sz w:val="22"/>
                <w:szCs w:val="22"/>
                <w14:ligatures w14:val="none"/>
              </w:rPr>
            </w:pPr>
            <w:r w:rsidRPr="00D31A23">
              <w:rPr>
                <w:rFonts w:ascii="Cambria" w:eastAsia="Times New Roman" w:hAnsi="Cambria" w:cs="Calibri"/>
                <w:color w:val="000000"/>
                <w:kern w:val="0"/>
                <w:sz w:val="22"/>
                <w:szCs w:val="22"/>
                <w14:ligatures w14:val="none"/>
              </w:rPr>
              <w:t>Issue Date</w:t>
            </w:r>
          </w:p>
        </w:tc>
        <w:tc>
          <w:tcPr>
            <w:tcW w:w="2349" w:type="dxa"/>
            <w:tcBorders>
              <w:top w:val="nil"/>
              <w:left w:val="nil"/>
              <w:bottom w:val="single" w:sz="8" w:space="0" w:color="auto"/>
              <w:right w:val="single" w:sz="8" w:space="0" w:color="auto"/>
            </w:tcBorders>
            <w:vAlign w:val="center"/>
            <w:hideMark/>
          </w:tcPr>
          <w:p w14:paraId="556A083D" w14:textId="77777777" w:rsidR="00BE756B" w:rsidRPr="00D31A23" w:rsidRDefault="00BE756B" w:rsidP="00433F94">
            <w:pPr>
              <w:spacing w:after="0" w:line="240" w:lineRule="auto"/>
              <w:jc w:val="center"/>
              <w:rPr>
                <w:rFonts w:ascii="Cambria" w:eastAsia="Times New Roman" w:hAnsi="Cambria" w:cs="Calibri"/>
                <w:color w:val="000000"/>
                <w:kern w:val="0"/>
                <w:sz w:val="22"/>
                <w:szCs w:val="22"/>
                <w14:ligatures w14:val="none"/>
              </w:rPr>
            </w:pPr>
            <w:r w:rsidRPr="00D31A23">
              <w:rPr>
                <w:rFonts w:ascii="Cambria" w:eastAsia="Times New Roman" w:hAnsi="Cambria" w:cs="Calibri"/>
                <w:color w:val="000000"/>
                <w:kern w:val="0"/>
                <w:sz w:val="22"/>
                <w:szCs w:val="22"/>
                <w14:ligatures w14:val="none"/>
              </w:rPr>
              <w:t>Review Date</w:t>
            </w:r>
          </w:p>
        </w:tc>
      </w:tr>
      <w:tr w:rsidR="00BE756B" w:rsidRPr="00D31A23" w14:paraId="46CFBB00" w14:textId="77777777" w:rsidTr="00433F94">
        <w:trPr>
          <w:trHeight w:val="892"/>
        </w:trPr>
        <w:tc>
          <w:tcPr>
            <w:tcW w:w="1392" w:type="dxa"/>
            <w:tcBorders>
              <w:top w:val="nil"/>
              <w:left w:val="single" w:sz="8" w:space="0" w:color="auto"/>
              <w:bottom w:val="single" w:sz="8" w:space="0" w:color="auto"/>
              <w:right w:val="single" w:sz="8" w:space="0" w:color="auto"/>
            </w:tcBorders>
            <w:vAlign w:val="center"/>
            <w:hideMark/>
          </w:tcPr>
          <w:p w14:paraId="05AA0264" w14:textId="77777777" w:rsidR="00BE756B" w:rsidRPr="003F783F" w:rsidRDefault="00BE756B" w:rsidP="00433F94">
            <w:pPr>
              <w:spacing w:after="0" w:line="240" w:lineRule="auto"/>
              <w:jc w:val="center"/>
              <w:rPr>
                <w:rFonts w:ascii="Cambria" w:eastAsia="Times New Roman" w:hAnsi="Cambria" w:cs="Calibri"/>
                <w:i/>
                <w:iCs/>
                <w:color w:val="EE0000"/>
                <w:kern w:val="0"/>
                <w:sz w:val="22"/>
                <w:szCs w:val="22"/>
                <w14:ligatures w14:val="none"/>
              </w:rPr>
            </w:pPr>
            <w:r w:rsidRPr="00307429">
              <w:rPr>
                <w:rFonts w:ascii="Cambria" w:hAnsi="Cambria"/>
                <w:i/>
                <w:iCs/>
                <w:color w:val="EE0000"/>
              </w:rPr>
              <w:t xml:space="preserve">Param Personnel Certification </w:t>
            </w:r>
            <w:r>
              <w:rPr>
                <w:rFonts w:ascii="Cambria" w:hAnsi="Cambria"/>
                <w:i/>
                <w:iCs/>
                <w:color w:val="EE0000"/>
              </w:rPr>
              <w:t>Ltd</w:t>
            </w:r>
          </w:p>
        </w:tc>
        <w:tc>
          <w:tcPr>
            <w:tcW w:w="2711" w:type="dxa"/>
            <w:tcBorders>
              <w:top w:val="nil"/>
              <w:left w:val="nil"/>
              <w:bottom w:val="single" w:sz="8" w:space="0" w:color="auto"/>
              <w:right w:val="single" w:sz="8" w:space="0" w:color="auto"/>
            </w:tcBorders>
            <w:vAlign w:val="center"/>
            <w:hideMark/>
          </w:tcPr>
          <w:p w14:paraId="662A732B" w14:textId="77777777" w:rsidR="00BE756B" w:rsidRPr="00D31A23" w:rsidRDefault="00BE756B" w:rsidP="00433F94">
            <w:pPr>
              <w:spacing w:after="0" w:line="240" w:lineRule="auto"/>
              <w:jc w:val="center"/>
              <w:rPr>
                <w:rFonts w:ascii="Cambria" w:eastAsia="Times New Roman" w:hAnsi="Cambria" w:cs="Calibri"/>
                <w:i/>
                <w:iCs/>
                <w:color w:val="EE0000"/>
                <w:kern w:val="0"/>
                <w:sz w:val="22"/>
                <w:szCs w:val="22"/>
                <w14:ligatures w14:val="none"/>
              </w:rPr>
            </w:pPr>
            <w:r w:rsidRPr="00B27247">
              <w:rPr>
                <w:rFonts w:ascii="Cambria" w:eastAsia="Times New Roman" w:hAnsi="Cambria" w:cs="Calibri"/>
                <w:i/>
                <w:iCs/>
                <w:color w:val="EE0000"/>
                <w:kern w:val="0"/>
                <w:sz w:val="22"/>
                <w:szCs w:val="22"/>
                <w14:ligatures w14:val="none"/>
              </w:rPr>
              <w:t xml:space="preserve">Director– </w:t>
            </w:r>
            <w:r w:rsidRPr="00307429">
              <w:rPr>
                <w:rFonts w:ascii="Cambria" w:hAnsi="Cambria"/>
                <w:i/>
                <w:iCs/>
                <w:color w:val="EE0000"/>
              </w:rPr>
              <w:t xml:space="preserve">Param Personnel Certification </w:t>
            </w:r>
            <w:r>
              <w:rPr>
                <w:rFonts w:ascii="Cambria" w:hAnsi="Cambria"/>
                <w:i/>
                <w:iCs/>
                <w:color w:val="EE0000"/>
              </w:rPr>
              <w:t>Ltd</w:t>
            </w:r>
          </w:p>
        </w:tc>
        <w:tc>
          <w:tcPr>
            <w:tcW w:w="1122" w:type="dxa"/>
            <w:tcBorders>
              <w:top w:val="nil"/>
              <w:left w:val="nil"/>
              <w:bottom w:val="single" w:sz="8" w:space="0" w:color="auto"/>
              <w:right w:val="single" w:sz="8" w:space="0" w:color="auto"/>
            </w:tcBorders>
            <w:vAlign w:val="center"/>
            <w:hideMark/>
          </w:tcPr>
          <w:p w14:paraId="05912559" w14:textId="77777777" w:rsidR="00BE756B" w:rsidRPr="00D31A23" w:rsidRDefault="00BE756B" w:rsidP="00433F94">
            <w:pPr>
              <w:spacing w:after="0" w:line="240" w:lineRule="auto"/>
              <w:jc w:val="center"/>
              <w:rPr>
                <w:rFonts w:ascii="Cambria" w:eastAsia="Times New Roman" w:hAnsi="Cambria" w:cs="Calibri"/>
                <w:i/>
                <w:iCs/>
                <w:color w:val="EE0000"/>
                <w:kern w:val="0"/>
                <w:sz w:val="22"/>
                <w:szCs w:val="22"/>
                <w14:ligatures w14:val="none"/>
              </w:rPr>
            </w:pPr>
            <w:r>
              <w:rPr>
                <w:rFonts w:ascii="Cambria" w:eastAsia="Times New Roman" w:hAnsi="Cambria" w:cs="Calibri"/>
                <w:i/>
                <w:iCs/>
                <w:color w:val="EE0000"/>
                <w:kern w:val="0"/>
                <w:sz w:val="22"/>
                <w:szCs w:val="22"/>
                <w14:ligatures w14:val="none"/>
              </w:rPr>
              <w:t>1.0</w:t>
            </w:r>
          </w:p>
        </w:tc>
        <w:tc>
          <w:tcPr>
            <w:tcW w:w="1776" w:type="dxa"/>
            <w:tcBorders>
              <w:top w:val="nil"/>
              <w:left w:val="nil"/>
              <w:bottom w:val="single" w:sz="8" w:space="0" w:color="auto"/>
              <w:right w:val="single" w:sz="8" w:space="0" w:color="auto"/>
            </w:tcBorders>
            <w:vAlign w:val="center"/>
          </w:tcPr>
          <w:p w14:paraId="2C5269F3" w14:textId="77777777" w:rsidR="00BE756B" w:rsidRPr="00D31A23" w:rsidRDefault="00BE756B" w:rsidP="00433F94">
            <w:pPr>
              <w:spacing w:after="0" w:line="240" w:lineRule="auto"/>
              <w:jc w:val="center"/>
              <w:rPr>
                <w:rFonts w:ascii="Cambria" w:eastAsia="Times New Roman" w:hAnsi="Cambria" w:cs="Calibri"/>
                <w:i/>
                <w:iCs/>
                <w:color w:val="EE0000"/>
                <w:kern w:val="0"/>
                <w:sz w:val="22"/>
                <w:szCs w:val="22"/>
                <w14:ligatures w14:val="none"/>
              </w:rPr>
            </w:pPr>
            <w:r>
              <w:rPr>
                <w:rFonts w:ascii="Cambria" w:eastAsia="Times New Roman" w:hAnsi="Cambria" w:cs="Calibri"/>
                <w:i/>
                <w:iCs/>
                <w:color w:val="EE0000"/>
                <w:kern w:val="0"/>
                <w:sz w:val="22"/>
                <w:szCs w:val="22"/>
                <w14:ligatures w14:val="none"/>
              </w:rPr>
              <w:t>15/12/2025</w:t>
            </w:r>
          </w:p>
        </w:tc>
        <w:tc>
          <w:tcPr>
            <w:tcW w:w="2349" w:type="dxa"/>
            <w:tcBorders>
              <w:top w:val="nil"/>
              <w:left w:val="nil"/>
              <w:bottom w:val="single" w:sz="8" w:space="0" w:color="auto"/>
              <w:right w:val="single" w:sz="8" w:space="0" w:color="auto"/>
            </w:tcBorders>
            <w:vAlign w:val="center"/>
            <w:hideMark/>
          </w:tcPr>
          <w:p w14:paraId="70B765F7" w14:textId="77777777" w:rsidR="00BE756B" w:rsidRPr="00D31A23" w:rsidRDefault="00BE756B" w:rsidP="00433F94">
            <w:pPr>
              <w:spacing w:after="0" w:line="240" w:lineRule="auto"/>
              <w:jc w:val="center"/>
              <w:rPr>
                <w:rFonts w:ascii="Cambria" w:eastAsia="Times New Roman" w:hAnsi="Cambria" w:cs="Calibri"/>
                <w:i/>
                <w:iCs/>
                <w:color w:val="EE0000"/>
                <w:kern w:val="0"/>
                <w:sz w:val="22"/>
                <w:szCs w:val="22"/>
                <w14:ligatures w14:val="none"/>
              </w:rPr>
            </w:pPr>
            <w:r>
              <w:rPr>
                <w:rFonts w:ascii="Cambria" w:eastAsia="Times New Roman" w:hAnsi="Cambria" w:cs="Calibri"/>
                <w:i/>
                <w:iCs/>
                <w:color w:val="EE0000"/>
                <w:kern w:val="0"/>
                <w:sz w:val="22"/>
                <w:szCs w:val="22"/>
                <w14:ligatures w14:val="none"/>
              </w:rPr>
              <w:t>15/12/2026</w:t>
            </w:r>
          </w:p>
        </w:tc>
      </w:tr>
    </w:tbl>
    <w:p w14:paraId="6506FED9" w14:textId="77777777" w:rsidR="00BE756B" w:rsidRPr="004F311C" w:rsidRDefault="00BE756B" w:rsidP="004F311C">
      <w:pPr>
        <w:jc w:val="both"/>
        <w:rPr>
          <w:rFonts w:ascii="Cambria" w:hAnsi="Cambria"/>
        </w:rPr>
      </w:pPr>
    </w:p>
    <w:sectPr w:rsidR="00BE756B" w:rsidRPr="004F311C" w:rsidSect="006C2021">
      <w:headerReference w:type="default" r:id="rId6"/>
      <w:footerReference w:type="default" r:id="rId7"/>
      <w:pgSz w:w="12240" w:h="15840"/>
      <w:pgMar w:top="1440" w:right="1440" w:bottom="1440" w:left="144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260580" w14:textId="77777777" w:rsidR="00455C42" w:rsidRDefault="00455C42" w:rsidP="006C2021">
      <w:pPr>
        <w:spacing w:after="0" w:line="240" w:lineRule="auto"/>
      </w:pPr>
      <w:r>
        <w:separator/>
      </w:r>
    </w:p>
  </w:endnote>
  <w:endnote w:type="continuationSeparator" w:id="0">
    <w:p w14:paraId="7051787B" w14:textId="77777777" w:rsidR="00455C42" w:rsidRDefault="00455C42" w:rsidP="006C20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10E0D1" w14:textId="697558FE" w:rsidR="006C2021" w:rsidRPr="006C2021" w:rsidRDefault="006C2021" w:rsidP="006C2021">
    <w:pPr>
      <w:pStyle w:val="Footer"/>
      <w:rPr>
        <w:rFonts w:ascii="Cambria" w:hAnsi="Cambria"/>
      </w:rPr>
    </w:pPr>
    <w:r w:rsidRPr="006C2021">
      <w:rPr>
        <w:rFonts w:ascii="Cambria" w:hAnsi="Cambria"/>
      </w:rPr>
      <w:t xml:space="preserve">Param Personnel Certification Eligibility &amp; Assessment Guidance.v1.0 </w:t>
    </w:r>
    <w:r>
      <w:rPr>
        <w:rFonts w:ascii="Cambria" w:hAnsi="Cambria"/>
      </w:rPr>
      <w:tab/>
    </w:r>
    <w:sdt>
      <w:sdtPr>
        <w:rPr>
          <w:rFonts w:ascii="Cambria" w:hAnsi="Cambria"/>
        </w:rPr>
        <w:id w:val="-1541890963"/>
        <w:docPartObj>
          <w:docPartGallery w:val="Page Numbers (Bottom of Page)"/>
          <w:docPartUnique/>
        </w:docPartObj>
      </w:sdtPr>
      <w:sdtEndPr>
        <w:rPr>
          <w:noProof/>
        </w:rPr>
      </w:sdtEndPr>
      <w:sdtContent>
        <w:r w:rsidRPr="006C2021">
          <w:rPr>
            <w:rFonts w:ascii="Cambria" w:hAnsi="Cambria"/>
          </w:rPr>
          <w:fldChar w:fldCharType="begin"/>
        </w:r>
        <w:r w:rsidRPr="006C2021">
          <w:rPr>
            <w:rFonts w:ascii="Cambria" w:hAnsi="Cambria"/>
          </w:rPr>
          <w:instrText xml:space="preserve"> PAGE   \* MERGEFORMAT </w:instrText>
        </w:r>
        <w:r w:rsidRPr="006C2021">
          <w:rPr>
            <w:rFonts w:ascii="Cambria" w:hAnsi="Cambria"/>
          </w:rPr>
          <w:fldChar w:fldCharType="separate"/>
        </w:r>
        <w:r w:rsidRPr="006C2021">
          <w:rPr>
            <w:rFonts w:ascii="Cambria" w:hAnsi="Cambria"/>
            <w:noProof/>
          </w:rPr>
          <w:t>2</w:t>
        </w:r>
        <w:r w:rsidRPr="006C2021">
          <w:rPr>
            <w:rFonts w:ascii="Cambria" w:hAnsi="Cambria"/>
            <w:noProof/>
          </w:rPr>
          <w:fldChar w:fldCharType="end"/>
        </w:r>
      </w:sdtContent>
    </w:sdt>
  </w:p>
  <w:p w14:paraId="718409C7" w14:textId="77777777" w:rsidR="006C2021" w:rsidRPr="006C2021" w:rsidRDefault="006C2021">
    <w:pPr>
      <w:pStyle w:val="Footer"/>
      <w:rPr>
        <w:rFonts w:ascii="Cambria" w:hAnsi="Cambr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195644" w14:textId="77777777" w:rsidR="00455C42" w:rsidRDefault="00455C42" w:rsidP="006C2021">
      <w:pPr>
        <w:spacing w:after="0" w:line="240" w:lineRule="auto"/>
      </w:pPr>
      <w:r>
        <w:separator/>
      </w:r>
    </w:p>
  </w:footnote>
  <w:footnote w:type="continuationSeparator" w:id="0">
    <w:p w14:paraId="2173C6D1" w14:textId="77777777" w:rsidR="00455C42" w:rsidRDefault="00455C42" w:rsidP="006C202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55E83D" w14:textId="1B290D8D" w:rsidR="00663E88" w:rsidRDefault="00663E88">
    <w:pPr>
      <w:pStyle w:val="Header"/>
    </w:pPr>
    <w:r>
      <w:rPr>
        <w:noProof/>
      </w:rPr>
      <w:drawing>
        <wp:anchor distT="0" distB="0" distL="114300" distR="114300" simplePos="0" relativeHeight="251659264" behindDoc="0" locked="0" layoutInCell="1" allowOverlap="1" wp14:anchorId="10F9AD19" wp14:editId="7FC0A77C">
          <wp:simplePos x="0" y="0"/>
          <wp:positionH relativeFrom="column">
            <wp:posOffset>-624840</wp:posOffset>
          </wp:positionH>
          <wp:positionV relativeFrom="paragraph">
            <wp:posOffset>-274320</wp:posOffset>
          </wp:positionV>
          <wp:extent cx="2049780" cy="919827"/>
          <wp:effectExtent l="0" t="0" r="7620" b="0"/>
          <wp:wrapTopAndBottom/>
          <wp:docPr id="13223846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49780" cy="919827"/>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6C17"/>
    <w:rsid w:val="00072F72"/>
    <w:rsid w:val="00083EBA"/>
    <w:rsid w:val="000B5D14"/>
    <w:rsid w:val="000C7AA4"/>
    <w:rsid w:val="001E5A2D"/>
    <w:rsid w:val="002012D6"/>
    <w:rsid w:val="00262388"/>
    <w:rsid w:val="00365539"/>
    <w:rsid w:val="004316BA"/>
    <w:rsid w:val="00455C42"/>
    <w:rsid w:val="004F311C"/>
    <w:rsid w:val="00591261"/>
    <w:rsid w:val="00663E88"/>
    <w:rsid w:val="006C2021"/>
    <w:rsid w:val="00757368"/>
    <w:rsid w:val="007D6C17"/>
    <w:rsid w:val="00867A12"/>
    <w:rsid w:val="008A52B6"/>
    <w:rsid w:val="009D7855"/>
    <w:rsid w:val="00A34712"/>
    <w:rsid w:val="00B94FEA"/>
    <w:rsid w:val="00BE6046"/>
    <w:rsid w:val="00BE756B"/>
    <w:rsid w:val="00C11995"/>
    <w:rsid w:val="00DC42E2"/>
    <w:rsid w:val="00E57446"/>
    <w:rsid w:val="00E95F76"/>
    <w:rsid w:val="00EF04F3"/>
    <w:rsid w:val="00F953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DEEDA4"/>
  <w15:chartTrackingRefBased/>
  <w15:docId w15:val="{5256372E-0FA5-4C6B-9ADE-B245D6EC5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D6C1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7D6C1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D6C1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D6C1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D6C1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D6C1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D6C1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D6C1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D6C1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6C1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7D6C1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D6C1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D6C1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D6C1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D6C1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D6C1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D6C1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D6C17"/>
    <w:rPr>
      <w:rFonts w:eastAsiaTheme="majorEastAsia" w:cstheme="majorBidi"/>
      <w:color w:val="272727" w:themeColor="text1" w:themeTint="D8"/>
    </w:rPr>
  </w:style>
  <w:style w:type="paragraph" w:styleId="Title">
    <w:name w:val="Title"/>
    <w:basedOn w:val="Normal"/>
    <w:next w:val="Normal"/>
    <w:link w:val="TitleChar"/>
    <w:uiPriority w:val="10"/>
    <w:qFormat/>
    <w:rsid w:val="007D6C1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6C1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D6C1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D6C1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D6C17"/>
    <w:pPr>
      <w:spacing w:before="160"/>
      <w:jc w:val="center"/>
    </w:pPr>
    <w:rPr>
      <w:i/>
      <w:iCs/>
      <w:color w:val="404040" w:themeColor="text1" w:themeTint="BF"/>
    </w:rPr>
  </w:style>
  <w:style w:type="character" w:customStyle="1" w:styleId="QuoteChar">
    <w:name w:val="Quote Char"/>
    <w:basedOn w:val="DefaultParagraphFont"/>
    <w:link w:val="Quote"/>
    <w:uiPriority w:val="29"/>
    <w:rsid w:val="007D6C17"/>
    <w:rPr>
      <w:i/>
      <w:iCs/>
      <w:color w:val="404040" w:themeColor="text1" w:themeTint="BF"/>
    </w:rPr>
  </w:style>
  <w:style w:type="paragraph" w:styleId="ListParagraph">
    <w:name w:val="List Paragraph"/>
    <w:basedOn w:val="Normal"/>
    <w:uiPriority w:val="34"/>
    <w:qFormat/>
    <w:rsid w:val="007D6C17"/>
    <w:pPr>
      <w:ind w:left="720"/>
      <w:contextualSpacing/>
    </w:pPr>
  </w:style>
  <w:style w:type="character" w:styleId="IntenseEmphasis">
    <w:name w:val="Intense Emphasis"/>
    <w:basedOn w:val="DefaultParagraphFont"/>
    <w:uiPriority w:val="21"/>
    <w:qFormat/>
    <w:rsid w:val="007D6C17"/>
    <w:rPr>
      <w:i/>
      <w:iCs/>
      <w:color w:val="2F5496" w:themeColor="accent1" w:themeShade="BF"/>
    </w:rPr>
  </w:style>
  <w:style w:type="paragraph" w:styleId="IntenseQuote">
    <w:name w:val="Intense Quote"/>
    <w:basedOn w:val="Normal"/>
    <w:next w:val="Normal"/>
    <w:link w:val="IntenseQuoteChar"/>
    <w:uiPriority w:val="30"/>
    <w:qFormat/>
    <w:rsid w:val="007D6C1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D6C17"/>
    <w:rPr>
      <w:i/>
      <w:iCs/>
      <w:color w:val="2F5496" w:themeColor="accent1" w:themeShade="BF"/>
    </w:rPr>
  </w:style>
  <w:style w:type="character" w:styleId="IntenseReference">
    <w:name w:val="Intense Reference"/>
    <w:basedOn w:val="DefaultParagraphFont"/>
    <w:uiPriority w:val="32"/>
    <w:qFormat/>
    <w:rsid w:val="007D6C17"/>
    <w:rPr>
      <w:b/>
      <w:bCs/>
      <w:smallCaps/>
      <w:color w:val="2F5496" w:themeColor="accent1" w:themeShade="BF"/>
      <w:spacing w:val="5"/>
    </w:rPr>
  </w:style>
  <w:style w:type="paragraph" w:styleId="Header">
    <w:name w:val="header"/>
    <w:basedOn w:val="Normal"/>
    <w:link w:val="HeaderChar"/>
    <w:uiPriority w:val="99"/>
    <w:unhideWhenUsed/>
    <w:rsid w:val="006C2021"/>
    <w:pPr>
      <w:tabs>
        <w:tab w:val="center" w:pos="4680"/>
        <w:tab w:val="right" w:pos="9360"/>
      </w:tabs>
      <w:spacing w:after="0" w:line="240" w:lineRule="auto"/>
    </w:pPr>
  </w:style>
  <w:style w:type="character" w:customStyle="1" w:styleId="HeaderChar">
    <w:name w:val="Header Char"/>
    <w:basedOn w:val="DefaultParagraphFont"/>
    <w:link w:val="Header"/>
    <w:uiPriority w:val="99"/>
    <w:rsid w:val="006C2021"/>
  </w:style>
  <w:style w:type="paragraph" w:styleId="Footer">
    <w:name w:val="footer"/>
    <w:basedOn w:val="Normal"/>
    <w:link w:val="FooterChar"/>
    <w:uiPriority w:val="99"/>
    <w:unhideWhenUsed/>
    <w:rsid w:val="006C2021"/>
    <w:pPr>
      <w:tabs>
        <w:tab w:val="center" w:pos="4680"/>
        <w:tab w:val="right" w:pos="9360"/>
      </w:tabs>
      <w:spacing w:after="0" w:line="240" w:lineRule="auto"/>
    </w:pPr>
  </w:style>
  <w:style w:type="character" w:customStyle="1" w:styleId="FooterChar">
    <w:name w:val="Footer Char"/>
    <w:basedOn w:val="DefaultParagraphFont"/>
    <w:link w:val="Footer"/>
    <w:uiPriority w:val="99"/>
    <w:rsid w:val="006C20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5</Pages>
  <Words>979</Words>
  <Characters>5585</Characters>
  <Application>Microsoft Office Word</Application>
  <DocSecurity>0</DocSecurity>
  <Lines>46</Lines>
  <Paragraphs>13</Paragraphs>
  <ScaleCrop>false</ScaleCrop>
  <Company/>
  <LinksUpToDate>false</LinksUpToDate>
  <CharactersWithSpaces>6551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Kowsalya Arumugam</dc:creator>
  <cp:keywords/>
  <dc:description/>
  <cp:lastModifiedBy>Kowsalya Arumugam</cp:lastModifiedBy>
  <cp:revision>25</cp:revision>
  <dcterms:created xsi:type="dcterms:W3CDTF">2026-01-30T10:36:00Z</dcterms:created>
  <dcterms:modified xsi:type="dcterms:W3CDTF">2026-01-31T05:18:00Z</dcterms:modified>
</cp:coreProperties>
</file>